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ANEXO I</w:t>
      </w:r>
      <w:r w:rsidR="007515D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II</w:t>
      </w:r>
    </w:p>
    <w:p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CRITÉRIOS UTILIZADOS NA AVALIAÇÃO DE MÉRITO CULTURAL</w:t>
      </w:r>
    </w:p>
    <w:p w:rsidR="008B5A30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 comissões de seleção </w:t>
      </w:r>
      <w:r w:rsidR="00CD0409">
        <w:rPr>
          <w:rFonts w:ascii="Calibri" w:hAnsi="Calibri" w:cs="Calibri"/>
          <w:color w:val="000000"/>
          <w:sz w:val="27"/>
          <w:szCs w:val="27"/>
        </w:rPr>
        <w:t>atribuirão</w:t>
      </w:r>
      <w:r>
        <w:rPr>
          <w:rFonts w:ascii="Calibri" w:hAnsi="Calibri" w:cs="Calibri"/>
          <w:color w:val="000000"/>
          <w:sz w:val="27"/>
          <w:szCs w:val="27"/>
        </w:rPr>
        <w:t xml:space="preserve"> notas de 0 a 10 pontos a cada um dos </w:t>
      </w:r>
      <w:r w:rsidR="00BE2B83">
        <w:rPr>
          <w:rFonts w:ascii="Calibri" w:hAnsi="Calibri" w:cs="Calibri"/>
          <w:color w:val="000000"/>
          <w:sz w:val="27"/>
          <w:szCs w:val="27"/>
        </w:rPr>
        <w:t>critérios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CD0409">
        <w:rPr>
          <w:rFonts w:ascii="Calibri" w:hAnsi="Calibri" w:cs="Calibri"/>
          <w:color w:val="000000"/>
          <w:sz w:val="27"/>
          <w:szCs w:val="27"/>
        </w:rPr>
        <w:t>avaliação</w:t>
      </w:r>
      <w:r>
        <w:rPr>
          <w:rFonts w:ascii="Calibri" w:hAnsi="Calibri" w:cs="Calibri"/>
          <w:color w:val="000000"/>
          <w:sz w:val="27"/>
          <w:szCs w:val="27"/>
        </w:rPr>
        <w:t xml:space="preserve"> de cada projeto, conforme </w:t>
      </w:r>
      <w:r w:rsidR="00BE2B83">
        <w:rPr>
          <w:rFonts w:ascii="Calibri" w:hAnsi="Calibri" w:cs="Calibri"/>
          <w:color w:val="000000"/>
          <w:sz w:val="27"/>
          <w:szCs w:val="27"/>
        </w:rPr>
        <w:t>tabela</w:t>
      </w:r>
      <w:r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:rsidR="008B5A30" w:rsidRPr="008B5A30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4"/>
        <w:gridCol w:w="5417"/>
        <w:gridCol w:w="1433"/>
      </w:tblGrid>
      <w:tr w:rsidR="008B5A30" w:rsidRPr="008B5A30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CRITÉRIOS OBRIGATÓRIOS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Pontuação Máxima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Qualidade do Projeto - Coerência do objeto, objetivos, justificativa e metas do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 análise deverá considerar, para fins de avaliação e valoração, se o conteúdo do projeto apresenta, como um todo coerência, observando o objeto, a justificativa e as metas, sendo possível visualizar de forma clara os resultados que serão obtidos.</w:t>
            </w:r>
          </w:p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FC51A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Relevância da ação proposta para o cenário cultural do </w:t>
            </w:r>
            <w:r w:rsidR="007D7E6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 xml:space="preserve">Município de Nova Veneza </w:t>
            </w:r>
            <w:r w:rsidR="00FC51A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>- GO -</w:t>
            </w:r>
            <w:r w:rsidRPr="008B5A30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</w:rPr>
              <w:t>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 análise deverá considerar, para fins de avaliação e valoração, se a ação contribui para o enriquecimento e valorização da cultura d</w:t>
            </w:r>
            <w:r w:rsidR="007D7E6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o Município de Nova Veneza</w:t>
            </w:r>
            <w:r w:rsidR="00FC51A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- GO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Aspectos de integração</w:t>
            </w:r>
            <w:r w:rsidR="00FC51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comunitária na ação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considera-se, para fins de avaliação e valoração, se o projeto apresenta aspectos de integração</w:t>
            </w:r>
            <w:r w:rsidR="00FC51A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comunitária, em relação ao impacto social para a inclusão de pessoas com deficiência, idosos e demais grupos em situação de histórica vulnerabilidade econômica/social.</w:t>
            </w:r>
          </w:p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Coerência da planilha orçamentária e do cronograma de execução</w:t>
            </w:r>
            <w:r w:rsidR="00FC51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às metas, resultados e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desdobramentos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 análise deverá avaliar e valorar a viabilidade técnica do projeto sob o ponto de vista dos gastos previstos na planilha orçamentária, sua execução e a adequação ao objeto, metas e objetivos previstos. Também deverá ser considerada para fins de avaliação a coerência e conformidade dos valores e quantidades dos itens relacionados na planilha orçamentária do projeto.</w:t>
            </w:r>
          </w:p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Coerência do Plano de Divulgação ao Cronograma, Objetivos e Metas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 análise deverá avaliar e valorar a viabilidade técnica e comunicacional com o público alvo do projeto, mediante as estratégias, mídias e materiais apresentados, bem como a capacidade de executá-los.</w:t>
            </w:r>
          </w:p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Compatibilidade da ficha técnica com as atividades desenvolvidas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 análise deverá considerar a carreira dos profissionais que compõem o corpo técnico e artístico, verificando a coerência ou não em relação</w:t>
            </w:r>
            <w:r w:rsidR="00FC51A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às</w:t>
            </w:r>
            <w:r w:rsidR="00FC51A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atribuições que serão executadas por eles no projeto (para esta avaliação</w:t>
            </w:r>
            <w:r w:rsidR="00FC51A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serão considerados os currículos dos membros da ficha técnica).</w:t>
            </w:r>
          </w:p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Trajetória artística e cultural do proponente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Será considerado para fins de análise a carreira do proponente, com base no currículo e comprovações enviadas juntamente com a proposta</w:t>
            </w:r>
          </w:p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80</w:t>
            </w:r>
          </w:p>
        </w:tc>
      </w:tr>
    </w:tbl>
    <w:p w:rsidR="008B5A30" w:rsidRDefault="008B5A30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Além da pontuação acima, o proponente pode receber bônus de pontuação, ou seja, uma pontuação extra, conforme critérios abaixo especificados: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4176"/>
        <w:gridCol w:w="2014"/>
      </w:tblGrid>
      <w:tr w:rsidR="007B3FDB" w:rsidRPr="007B3FDB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PONTUAÇÃO BÔNUS PARA PROPONENTES PESSOAS FÍSICAS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Pontuação Máxima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5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 xml:space="preserve">Proponentes </w:t>
            </w:r>
            <w:r w:rsidR="00FC51A2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negros,</w:t>
            </w: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 xml:space="preserve"> indígenas</w:t>
            </w:r>
            <w:r w:rsidR="00FC51A2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 xml:space="preserve"> ou quilombolas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5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5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FC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 xml:space="preserve">Proponente residente em regiões de menor IDH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5</w:t>
            </w:r>
          </w:p>
        </w:tc>
      </w:tr>
      <w:tr w:rsidR="007B3FDB" w:rsidRPr="00DD5CCE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DD5CCE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DD5CCE">
              <w:rPr>
                <w:rFonts w:ascii="Arial" w:eastAsia="Times New Roman" w:hAnsi="Arial" w:cs="Arial"/>
                <w:b/>
                <w:bCs/>
                <w:kern w:val="0"/>
                <w:lang w:eastAsia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DD5CCE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DD5CCE">
              <w:rPr>
                <w:rFonts w:ascii="Arial" w:eastAsia="Times New Roman" w:hAnsi="Arial" w:cs="Arial"/>
                <w:kern w:val="0"/>
                <w:lang w:eastAsia="pt-BR"/>
              </w:rPr>
              <w:t>20 PONTOS</w:t>
            </w:r>
          </w:p>
        </w:tc>
      </w:tr>
    </w:tbl>
    <w:p w:rsidR="007B3FDB" w:rsidRPr="00DD5CCE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6"/>
        <w:gridCol w:w="5740"/>
        <w:gridCol w:w="1470"/>
      </w:tblGrid>
      <w:tr w:rsidR="007B3FDB" w:rsidRPr="00DD5CCE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DD5CC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DD5CCE">
              <w:rPr>
                <w:rFonts w:ascii="Arial" w:eastAsia="Times New Roman" w:hAnsi="Arial" w:cs="Arial"/>
                <w:b/>
                <w:bCs/>
                <w:kern w:val="0"/>
                <w:lang w:eastAsia="pt-BR"/>
              </w:rPr>
              <w:t>PONTUAÇÃO EXTRA PARA PROPONENTES PESSOAS JURÍDICAS E COLETIVOS OU GRUPOS CULTURAIS SEM CNPJ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Pontuação Máxima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5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5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lastRenderedPageBreak/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Pessoas jurídicas sediadas em regiões de menor IDH ou coletivos/grupos pertencentes a regiões de menor IDH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5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:rsidR="007B3FDB" w:rsidRPr="007B3FDB" w:rsidRDefault="007B3FDB" w:rsidP="007B3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:rsidR="007B3FDB" w:rsidRPr="007B3FDB" w:rsidRDefault="007B3FDB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br/>
            </w: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br/>
            </w:r>
          </w:p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5</w:t>
            </w:r>
          </w:p>
        </w:tc>
      </w:tr>
      <w:tr w:rsidR="007B3FDB" w:rsidRPr="007B3FDB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FC51A2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C51A2">
              <w:rPr>
                <w:rFonts w:ascii="Arial" w:eastAsia="Times New Roman" w:hAnsi="Arial" w:cs="Arial"/>
                <w:kern w:val="0"/>
                <w:lang w:eastAsia="pt-BR"/>
              </w:rPr>
              <w:t>20 PONTOS</w:t>
            </w:r>
          </w:p>
        </w:tc>
      </w:tr>
    </w:tbl>
    <w:p w:rsidR="008B5A30" w:rsidRPr="00B76B1D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</w:rPr>
      </w:pPr>
      <w:r w:rsidRPr="00B76B1D">
        <w:rPr>
          <w:rFonts w:ascii="Calibri" w:eastAsia="Times New Roman" w:hAnsi="Calibri" w:cs="Calibri"/>
          <w:kern w:val="0"/>
          <w:sz w:val="24"/>
          <w:szCs w:val="24"/>
          <w:lang w:eastAsia="pt-BR"/>
        </w:rPr>
        <w:t>A pontuação final de cada candidatura será </w:t>
      </w:r>
      <w:r w:rsidR="00B76B1D" w:rsidRPr="00B76B1D">
        <w:rPr>
          <w:rFonts w:ascii="Calibri" w:eastAsia="Times New Roman" w:hAnsi="Calibri" w:cs="Calibri"/>
          <w:kern w:val="0"/>
          <w:sz w:val="24"/>
          <w:szCs w:val="24"/>
          <w:lang w:eastAsia="pt-BR"/>
        </w:rPr>
        <w:t>por média de notas.</w:t>
      </w:r>
    </w:p>
    <w:p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Os critérios gerais são eliminatórios, de modo que, o agente cultural que receber pontuação 0 em algum dos critérios será desclassificado do Edital.</w:t>
      </w:r>
    </w:p>
    <w:p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Os bônus de pontuação são cumulativos e não constituem critérios obrigatórios, de modo que a pontuação 0 em algum dos pontos bônus não desclassifica o proponente.</w:t>
      </w:r>
    </w:p>
    <w:p w:rsidR="00B76B1D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B76B1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Em caso de empate, serão utilizados para fins de classificação dos projetos a maior nota nos critérios de acordo com a ordem abaixo definida: A, B, C, D, E, F, G,</w:t>
      </w:r>
      <w:r w:rsidR="00B76B1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</w:t>
      </w:r>
      <w:r w:rsidRPr="00B76B1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H respectivamente. </w:t>
      </w:r>
      <w:r w:rsidR="00B76B1D" w:rsidRPr="00B76B1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</w:t>
      </w:r>
    </w:p>
    <w:p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Serão considerados aptos os projetos que receberem nota final igual ou superior a 50 pontos.</w:t>
      </w:r>
    </w:p>
    <w:p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Serão desclassificados os projetos que:</w:t>
      </w:r>
    </w:p>
    <w:p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I - receberam nota 0 em qualquer dos critérios obrigatórios; </w:t>
      </w:r>
    </w:p>
    <w:p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II - apresentem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</w:rPr>
          <w:t>inciso IV do caput do art. 3º da Constituição,</w:t>
        </w:r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garantidos o contraditório e a ampla defesa.</w:t>
      </w:r>
    </w:p>
    <w:p w:rsidR="008B5A30" w:rsidRPr="007B3FDB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A falsidade de informações acarretará desclassificação, podendo ensejar, ainda, a aplicação de sanções administrativas ou criminais.</w:t>
      </w:r>
    </w:p>
    <w:sectPr w:rsidR="008B5A30" w:rsidRPr="007B3FDB" w:rsidSect="00D96A8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A3B" w:rsidRDefault="00082A3B" w:rsidP="00FC51A2">
      <w:pPr>
        <w:spacing w:after="0" w:line="240" w:lineRule="auto"/>
      </w:pPr>
      <w:r>
        <w:separator/>
      </w:r>
    </w:p>
  </w:endnote>
  <w:endnote w:type="continuationSeparator" w:id="1">
    <w:p w:rsidR="00082A3B" w:rsidRDefault="00082A3B" w:rsidP="00FC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A3B" w:rsidRDefault="00082A3B" w:rsidP="00FC51A2">
      <w:pPr>
        <w:spacing w:after="0" w:line="240" w:lineRule="auto"/>
      </w:pPr>
      <w:r>
        <w:separator/>
      </w:r>
    </w:p>
  </w:footnote>
  <w:footnote w:type="continuationSeparator" w:id="1">
    <w:p w:rsidR="00082A3B" w:rsidRDefault="00082A3B" w:rsidP="00FC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A2" w:rsidRDefault="00FC51A2" w:rsidP="00FC51A2">
    <w:pPr>
      <w:pStyle w:val="Cabealho"/>
      <w:jc w:val="center"/>
      <w:rPr>
        <w:noProof/>
        <w:lang w:eastAsia="pt-BR"/>
      </w:rPr>
    </w:pPr>
  </w:p>
  <w:p w:rsidR="00DD5CCE" w:rsidRDefault="00DD5CCE" w:rsidP="00FC51A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619500" cy="1266825"/>
          <wp:effectExtent l="19050" t="0" r="0" b="0"/>
          <wp:docPr id="2" name="Imagem 1" descr="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51A2" w:rsidRDefault="00FC51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B5A30"/>
    <w:rsid w:val="00037A95"/>
    <w:rsid w:val="00082A3B"/>
    <w:rsid w:val="007515D1"/>
    <w:rsid w:val="007B3FDB"/>
    <w:rsid w:val="007D7E68"/>
    <w:rsid w:val="007F5F74"/>
    <w:rsid w:val="008974F9"/>
    <w:rsid w:val="008B5A30"/>
    <w:rsid w:val="00B76B1D"/>
    <w:rsid w:val="00BE2B83"/>
    <w:rsid w:val="00CD0409"/>
    <w:rsid w:val="00D83B30"/>
    <w:rsid w:val="00D96A86"/>
    <w:rsid w:val="00DD5CCE"/>
    <w:rsid w:val="00FC51A2"/>
    <w:rsid w:val="00FD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C5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1A2"/>
  </w:style>
  <w:style w:type="paragraph" w:styleId="Rodap">
    <w:name w:val="footer"/>
    <w:basedOn w:val="Normal"/>
    <w:link w:val="RodapChar"/>
    <w:uiPriority w:val="99"/>
    <w:semiHidden/>
    <w:unhideWhenUsed/>
    <w:rsid w:val="00FC5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51A2"/>
  </w:style>
  <w:style w:type="paragraph" w:styleId="Textodebalo">
    <w:name w:val="Balloon Text"/>
    <w:basedOn w:val="Normal"/>
    <w:link w:val="TextodebaloChar"/>
    <w:uiPriority w:val="99"/>
    <w:semiHidden/>
    <w:unhideWhenUsed/>
    <w:rsid w:val="00FC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DELL</cp:lastModifiedBy>
  <cp:revision>9</cp:revision>
  <dcterms:created xsi:type="dcterms:W3CDTF">2023-06-29T14:23:00Z</dcterms:created>
  <dcterms:modified xsi:type="dcterms:W3CDTF">2023-09-27T12:36:00Z</dcterms:modified>
</cp:coreProperties>
</file>